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rødtekst"/>
        <w:rPr>
          <w:b w:val="1"/>
          <w:bCs w:val="1"/>
          <w:sz w:val="28"/>
          <w:szCs w:val="28"/>
        </w:rPr>
      </w:pPr>
    </w:p>
    <w:p>
      <w:pPr>
        <w:pStyle w:val="Brødtekst"/>
        <w:rPr>
          <w:b w:val="1"/>
          <w:bCs w:val="1"/>
          <w:sz w:val="28"/>
          <w:szCs w:val="28"/>
        </w:rPr>
      </w:pPr>
    </w:p>
    <w:p>
      <w:pPr>
        <w:pStyle w:val="Brødtekst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 xml:space="preserve">Diagnose </w:t>
      </w:r>
      <w:r>
        <w:rPr>
          <w:b w:val="1"/>
          <w:bCs w:val="1"/>
          <w:sz w:val="28"/>
          <w:szCs w:val="28"/>
          <w:rtl w:val="0"/>
        </w:rPr>
        <w:t xml:space="preserve">– </w:t>
      </w:r>
      <w:r>
        <w:rPr>
          <w:b w:val="1"/>
          <w:bCs w:val="1"/>
          <w:sz w:val="28"/>
          <w:szCs w:val="28"/>
          <w:rtl w:val="0"/>
          <w:lang w:val="da-DK"/>
        </w:rPr>
        <w:t>hvad er det vi behandler?</w:t>
      </w:r>
    </w:p>
    <w:p>
      <w:pPr>
        <w:pStyle w:val="Brødtekst"/>
      </w:pPr>
      <w:r>
        <w:tab/>
      </w:r>
      <w:r>
        <w:rPr>
          <w:b w:val="1"/>
          <w:bCs w:val="1"/>
          <w:rtl w:val="0"/>
          <w:lang w:val="en-US"/>
        </w:rPr>
        <w:t>Monofilament:</w:t>
      </w:r>
      <w:r>
        <w:rPr>
          <w:rtl w:val="0"/>
        </w:rPr>
        <w:t xml:space="preserve"> den overfladiske f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lesans. Er den tabt, har vi med en risikofod at g</w:t>
      </w:r>
      <w:r>
        <w:rPr>
          <w:rtl w:val="0"/>
          <w:lang w:val="da-DK"/>
        </w:rPr>
        <w:t>ø</w:t>
      </w:r>
      <w:r>
        <w:rPr>
          <w:rtl w:val="0"/>
        </w:rPr>
        <w:t>re</w:t>
      </w:r>
    </w:p>
    <w:p>
      <w:pPr>
        <w:pStyle w:val="No Spacing"/>
        <w:ind w:left="1304" w:firstLine="0"/>
      </w:pPr>
      <w:r>
        <w:rPr>
          <w:b w:val="1"/>
          <w:bCs w:val="1"/>
          <w:rtl w:val="0"/>
          <w:lang w:val="da-DK"/>
        </w:rPr>
        <w:t>Ankel/arm index</w:t>
      </w:r>
      <w:r>
        <w:rPr>
          <w:rtl w:val="0"/>
          <w:lang w:val="da-DK"/>
        </w:rPr>
        <w:t>: M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ling af systolisk ankeltryk med Doppler divideret med det armsystoliske blodtryk. Arm blodtrykket m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les p</w:t>
      </w:r>
      <w:r>
        <w:rPr>
          <w:rtl w:val="0"/>
          <w:lang w:val="da-DK"/>
        </w:rPr>
        <w:t xml:space="preserve">å </w:t>
      </w:r>
      <w:r>
        <w:rPr>
          <w:rtl w:val="0"/>
          <w:lang w:val="da-DK"/>
        </w:rPr>
        <w:t>begge arme, h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jeste v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 xml:space="preserve">rdi bruges i regnestykket. </w:t>
      </w:r>
    </w:p>
    <w:p>
      <w:pPr>
        <w:pStyle w:val="No Spacing"/>
      </w:pPr>
      <w:r>
        <w:tab/>
      </w:r>
    </w:p>
    <w:p>
      <w:pPr>
        <w:pStyle w:val="No Spacing"/>
        <w:ind w:firstLine="1304"/>
      </w:pPr>
      <w:r>
        <w:rPr>
          <w:b w:val="1"/>
          <w:bCs w:val="1"/>
          <w:rtl w:val="0"/>
          <w:lang w:val="da-DK"/>
        </w:rPr>
        <w:t>Er v</w:t>
      </w:r>
      <w:r>
        <w:rPr>
          <w:b w:val="1"/>
          <w:bCs w:val="1"/>
          <w:rtl w:val="0"/>
          <w:lang w:val="da-DK"/>
        </w:rPr>
        <w:t>æ</w:t>
      </w:r>
      <w:r>
        <w:rPr>
          <w:b w:val="1"/>
          <w:bCs w:val="1"/>
          <w:rtl w:val="0"/>
          <w:lang w:val="da-DK"/>
        </w:rPr>
        <w:t>rdien under 0,5</w:t>
      </w:r>
      <w:r>
        <w:rPr>
          <w:rtl w:val="0"/>
          <w:lang w:val="da-DK"/>
        </w:rPr>
        <w:t>, skal patienten henvises til karkirurgisk afdeling</w:t>
      </w:r>
    </w:p>
    <w:p>
      <w:pPr>
        <w:pStyle w:val="Brødtekst"/>
        <w:ind w:left="1304" w:firstLine="0"/>
      </w:pPr>
      <w:r>
        <w:rPr>
          <w:b w:val="1"/>
          <w:bCs w:val="1"/>
          <w:rtl w:val="0"/>
          <w:lang w:val="de-DE"/>
        </w:rPr>
        <w:t>Er v</w:t>
      </w:r>
      <w:r>
        <w:rPr>
          <w:b w:val="1"/>
          <w:bCs w:val="1"/>
          <w:rtl w:val="0"/>
          <w:lang w:val="da-DK"/>
        </w:rPr>
        <w:t>æ</w:t>
      </w:r>
      <w:r>
        <w:rPr>
          <w:b w:val="1"/>
          <w:bCs w:val="1"/>
          <w:rtl w:val="0"/>
          <w:lang w:val="nl-NL"/>
        </w:rPr>
        <w:t>rdien over 0,5</w:t>
      </w:r>
      <w:r>
        <w:rPr>
          <w:rtl w:val="0"/>
          <w:lang w:val="sv-SE"/>
        </w:rPr>
        <w:t xml:space="preserve"> kan kompression anl</w:t>
      </w:r>
      <w:r>
        <w:rPr>
          <w:rtl w:val="0"/>
          <w:lang w:val="da-DK"/>
        </w:rPr>
        <w:t>æ</w:t>
      </w:r>
      <w:r>
        <w:rPr>
          <w:rtl w:val="0"/>
        </w:rPr>
        <w:t>gges, fra t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>ernes grundled til lige under kn</w:t>
      </w:r>
      <w:r>
        <w:rPr>
          <w:rtl w:val="0"/>
          <w:lang w:val="da-DK"/>
        </w:rPr>
        <w:t>æ</w:t>
      </w:r>
      <w:r>
        <w:rPr>
          <w:rtl w:val="0"/>
        </w:rPr>
        <w:t>et</w:t>
      </w:r>
    </w:p>
    <w:p>
      <w:pPr>
        <w:pStyle w:val="Brødtekst"/>
        <w:ind w:left="1304" w:firstLine="0"/>
      </w:pPr>
      <w:r>
        <w:rPr>
          <w:rtl w:val="0"/>
        </w:rPr>
        <w:t>Er der samtidig p</w:t>
      </w:r>
      <w:r>
        <w:rPr>
          <w:rtl w:val="0"/>
          <w:lang w:val="da-DK"/>
        </w:rPr>
        <w:t>å</w:t>
      </w:r>
      <w:r>
        <w:rPr>
          <w:rtl w:val="0"/>
        </w:rPr>
        <w:t>virket overfladisk f</w:t>
      </w:r>
      <w:r>
        <w:rPr>
          <w:rtl w:val="0"/>
          <w:lang w:val="da-DK"/>
        </w:rPr>
        <w:t>ø</w:t>
      </w:r>
      <w:r>
        <w:rPr>
          <w:rtl w:val="0"/>
        </w:rPr>
        <w:t>lesans, skal bandagen l</w:t>
      </w:r>
      <w:r>
        <w:rPr>
          <w:rtl w:val="0"/>
          <w:lang w:val="da-DK"/>
        </w:rPr>
        <w:t>æ</w:t>
      </w:r>
      <w:r>
        <w:rPr>
          <w:rtl w:val="0"/>
        </w:rPr>
        <w:t>gges med omhu.</w:t>
      </w:r>
    </w:p>
    <w:p>
      <w:pPr>
        <w:pStyle w:val="Brødtekst"/>
        <w:ind w:left="1304" w:firstLine="0"/>
      </w:pPr>
      <w:r>
        <w:rPr>
          <w:b w:val="1"/>
          <w:bCs w:val="1"/>
          <w:rtl w:val="0"/>
          <w:lang w:val="de-DE"/>
        </w:rPr>
        <w:t>Er v</w:t>
      </w:r>
      <w:r>
        <w:rPr>
          <w:b w:val="1"/>
          <w:bCs w:val="1"/>
          <w:rtl w:val="0"/>
          <w:lang w:val="da-DK"/>
        </w:rPr>
        <w:t>æ</w:t>
      </w:r>
      <w:r>
        <w:rPr>
          <w:b w:val="1"/>
          <w:bCs w:val="1"/>
          <w:rtl w:val="0"/>
          <w:lang w:val="nl-NL"/>
        </w:rPr>
        <w:t>rdien over 1,2</w:t>
      </w:r>
      <w:r>
        <w:rPr>
          <w:rtl w:val="0"/>
          <w:lang w:val="da-DK"/>
        </w:rPr>
        <w:t>, skal man mist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>nke diabetes, m</w:t>
      </w:r>
      <w:r>
        <w:rPr>
          <w:rtl w:val="0"/>
          <w:lang w:val="da-DK"/>
        </w:rPr>
        <w:t>å</w:t>
      </w:r>
      <w:r>
        <w:rPr>
          <w:rtl w:val="0"/>
        </w:rPr>
        <w:t>lingen er ikke repr</w:t>
      </w:r>
      <w:r>
        <w:rPr>
          <w:rtl w:val="0"/>
          <w:lang w:val="da-DK"/>
        </w:rPr>
        <w:t>æ</w:t>
      </w:r>
      <w:r>
        <w:rPr>
          <w:rtl w:val="0"/>
          <w:lang w:val="it-IT"/>
        </w:rPr>
        <w:t>sentativ.</w:t>
      </w:r>
    </w:p>
    <w:p>
      <w:pPr>
        <w:pStyle w:val="Brødtekst"/>
        <w:ind w:left="1304" w:firstLine="0"/>
      </w:pPr>
    </w:p>
    <w:p>
      <w:pPr>
        <w:pStyle w:val="Brødtekst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da-DK"/>
        </w:rPr>
        <w:t>Kompression fysiologien:</w:t>
      </w:r>
    </w:p>
    <w:p>
      <w:pPr>
        <w:pStyle w:val="No Spacing"/>
        <w:ind w:left="1304" w:firstLine="1"/>
      </w:pPr>
      <w:r>
        <w:rPr>
          <w:rtl w:val="0"/>
          <w:lang w:val="da-DK"/>
        </w:rPr>
        <w:t>Gennembl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dningen fordobles i hud og underhud n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r der anl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>gges kompression i den liggende stilling</w:t>
      </w:r>
    </w:p>
    <w:p>
      <w:pPr>
        <w:pStyle w:val="No Spacing"/>
      </w:pPr>
      <w:r>
        <w:rPr>
          <w:rtl w:val="0"/>
        </w:rPr>
        <w:tab/>
        <w:tab/>
        <w:t>Ingen grund til at tage str</w:t>
      </w:r>
      <w:r>
        <w:rPr>
          <w:rtl w:val="0"/>
        </w:rPr>
        <w:t>ø</w:t>
      </w:r>
      <w:r>
        <w:rPr>
          <w:rtl w:val="0"/>
        </w:rPr>
        <w:t>mper af om natten!</w:t>
      </w:r>
    </w:p>
    <w:p>
      <w:pPr>
        <w:pStyle w:val="No Spacing"/>
      </w:pPr>
      <w:r>
        <w:tab/>
      </w:r>
    </w:p>
    <w:p>
      <w:pPr>
        <w:pStyle w:val="No Spacing"/>
        <w:ind w:firstLine="1304"/>
      </w:pPr>
      <w:r>
        <w:rPr>
          <w:rtl w:val="0"/>
          <w:lang w:val="da-DK"/>
        </w:rPr>
        <w:t>I den siddende stilling kan gennembl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 xml:space="preserve">dningen i hud og underhud 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ges med op til en faktor 4.</w:t>
      </w:r>
    </w:p>
    <w:p>
      <w:pPr>
        <w:pStyle w:val="No Spacing"/>
      </w:pPr>
    </w:p>
    <w:p>
      <w:pPr>
        <w:pStyle w:val="No Spacing"/>
        <w:ind w:left="1304" w:firstLine="1"/>
      </w:pPr>
      <w:r>
        <w:rPr>
          <w:rtl w:val="0"/>
          <w:lang w:val="da-DK"/>
        </w:rPr>
        <w:t>Det arterielle kredsl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b bliver f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rst p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virket n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r vi l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>gger kompressionsbandager med tryk p</w:t>
      </w:r>
      <w:r>
        <w:rPr>
          <w:rtl w:val="0"/>
          <w:lang w:val="da-DK"/>
        </w:rPr>
        <w:t xml:space="preserve">å </w:t>
      </w:r>
      <w:r>
        <w:rPr>
          <w:rtl w:val="0"/>
          <w:lang w:val="da-DK"/>
        </w:rPr>
        <w:t>60 mmHg og derover.</w:t>
      </w:r>
    </w:p>
    <w:p>
      <w:pPr>
        <w:pStyle w:val="No Spacing"/>
        <w:ind w:left="1304" w:firstLine="1"/>
      </w:pPr>
    </w:p>
    <w:p>
      <w:pPr>
        <w:pStyle w:val="No Spacing"/>
        <w:ind w:left="1304" w:firstLine="1"/>
      </w:pPr>
      <w:r>
        <w:rPr>
          <w:rtl w:val="0"/>
          <w:lang w:val="da-DK"/>
        </w:rPr>
        <w:t xml:space="preserve">Uelastiske bandager mere effektive til at 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ge gennembl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dningen sammenlignet med elastiske. Fysiologisk set, b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r uelastiske bandager foretr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>kkes.</w:t>
      </w:r>
    </w:p>
    <w:p>
      <w:pPr>
        <w:pStyle w:val="No Spacing"/>
        <w:ind w:left="1304" w:firstLine="1"/>
      </w:pPr>
    </w:p>
    <w:p>
      <w:pPr>
        <w:pStyle w:val="No Spacing"/>
        <w:ind w:left="1304" w:firstLine="1"/>
      </w:pPr>
    </w:p>
    <w:p>
      <w:pPr>
        <w:pStyle w:val="No Spacing"/>
        <w:ind w:left="1304" w:firstLine="1"/>
      </w:pPr>
    </w:p>
    <w:p>
      <w:pPr>
        <w:pStyle w:val="No Spacing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da-DK"/>
        </w:rPr>
        <w:t>Dermatoporose:</w:t>
      </w:r>
    </w:p>
    <w:p>
      <w:pPr>
        <w:pStyle w:val="No Spacing"/>
        <w:ind w:left="1304" w:firstLine="1"/>
      </w:pPr>
      <w:r>
        <w:rPr>
          <w:rtl w:val="0"/>
          <w:lang w:val="da-DK"/>
        </w:rPr>
        <w:t>Den aldrende hud</w:t>
      </w:r>
      <w:r>
        <w:rPr>
          <w:sz w:val="28"/>
          <w:szCs w:val="28"/>
          <w:rtl w:val="0"/>
          <w:lang w:val="da-DK"/>
        </w:rPr>
        <w:t xml:space="preserve">. </w:t>
      </w:r>
      <w:r>
        <w:rPr>
          <w:rtl w:val="0"/>
          <w:lang w:val="da-DK"/>
        </w:rPr>
        <w:t>Dermis (underhuden) mister elastiske fibre, kollagen samt hyaluronsyre, specielt efter 50-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rs alderen. Epidermis bliver tyndere og basalmembranen glattes ud. Huden bliver mere skr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belig</w:t>
      </w:r>
    </w:p>
    <w:sectPr>
      <w:headerReference w:type="default" r:id="rId4"/>
      <w:footerReference w:type="default" r:id="rId5"/>
      <w:pgSz w:w="11900" w:h="16840" w:orient="portrait"/>
      <w:pgMar w:top="1701" w:right="1134" w:bottom="1701" w:left="113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Sidehoved &amp; sidefod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Sidehoved &amp; sidefod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1304"/>
  <w:autoHyphenation w:val="0"/>
  <w:evenAndOddHeaders w:val="0"/>
  <w:bookFoldPrinting w:val="0"/>
  <w:noLineBreaksAfter w:lang="dansk" w:val="‘“(〔[{〈《「『【⦅〘〖«〝︵︷︹︻︽︿﹁﹃﹇﹙﹛﹝｢"/>
  <w:noLineBreaksBefore w:lang="dansk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idehoved &amp; sidefod">
    <w:name w:val="Sidehoved &amp; sidefod"/>
    <w:next w:val="Sidehoved &amp; sidefod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rødtekst">
    <w:name w:val="Brødtekst"/>
    <w:next w:val="Brødteks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da-DK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Kontortema">
  <a:themeElements>
    <a:clrScheme name="Kontor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Kontortema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Kontor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